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F0C19" w14:textId="4F0267B6" w:rsidR="000731EE" w:rsidRDefault="00000000">
      <w:pPr>
        <w:jc w:val="center"/>
        <w:rPr>
          <w:rFonts w:ascii="黑体" w:eastAsia="黑体" w:hAnsi="黑体"/>
          <w:sz w:val="36"/>
          <w:szCs w:val="36"/>
        </w:rPr>
      </w:pPr>
      <w:r>
        <w:rPr>
          <w:rFonts w:ascii="黑体" w:eastAsia="黑体" w:hAnsi="黑体"/>
          <w:sz w:val="36"/>
          <w:szCs w:val="36"/>
        </w:rPr>
        <w:t>河北省</w:t>
      </w:r>
      <w:r w:rsidR="00167AAE">
        <w:rPr>
          <w:rFonts w:ascii="黑体" w:eastAsia="黑体" w:hAnsi="黑体" w:hint="eastAsia"/>
          <w:sz w:val="36"/>
          <w:szCs w:val="36"/>
        </w:rPr>
        <w:t>特种设备学会</w:t>
      </w:r>
      <w:r>
        <w:rPr>
          <w:rFonts w:ascii="黑体" w:eastAsia="黑体" w:hAnsi="黑体" w:hint="eastAsia"/>
          <w:sz w:val="36"/>
          <w:szCs w:val="36"/>
        </w:rPr>
        <w:t>团体</w:t>
      </w:r>
      <w:r>
        <w:rPr>
          <w:rFonts w:ascii="黑体" w:eastAsia="黑体" w:hAnsi="黑体"/>
          <w:sz w:val="36"/>
          <w:szCs w:val="36"/>
        </w:rPr>
        <w:t>标准</w:t>
      </w:r>
    </w:p>
    <w:p w14:paraId="3AEFE723" w14:textId="77777777" w:rsidR="000731EE" w:rsidRDefault="00000000">
      <w:pPr>
        <w:jc w:val="center"/>
        <w:rPr>
          <w:rFonts w:ascii="黑体" w:eastAsia="黑体" w:hAnsi="黑体"/>
          <w:sz w:val="36"/>
          <w:szCs w:val="36"/>
        </w:rPr>
      </w:pPr>
      <w:r>
        <w:rPr>
          <w:rFonts w:ascii="黑体" w:eastAsia="黑体" w:hAnsi="黑体" w:hint="eastAsia"/>
          <w:sz w:val="36"/>
          <w:szCs w:val="36"/>
        </w:rPr>
        <w:t>《</w:t>
      </w:r>
      <w:r>
        <w:rPr>
          <w:rFonts w:ascii="黑体" w:eastAsia="黑体" w:hAnsi="黑体"/>
          <w:sz w:val="36"/>
          <w:szCs w:val="36"/>
        </w:rPr>
        <w:t>气瓶充装操作规程</w:t>
      </w:r>
      <w:r>
        <w:rPr>
          <w:rFonts w:ascii="黑体" w:eastAsia="黑体" w:hAnsi="黑体" w:hint="eastAsia"/>
          <w:sz w:val="36"/>
          <w:szCs w:val="36"/>
        </w:rPr>
        <w:t>》</w:t>
      </w:r>
    </w:p>
    <w:p w14:paraId="2082EB34" w14:textId="77777777" w:rsidR="000731EE" w:rsidRDefault="00000000">
      <w:pPr>
        <w:jc w:val="center"/>
        <w:rPr>
          <w:rFonts w:ascii="黑体" w:eastAsia="黑体" w:hAnsi="黑体"/>
          <w:sz w:val="36"/>
          <w:szCs w:val="36"/>
        </w:rPr>
      </w:pPr>
      <w:r>
        <w:rPr>
          <w:rFonts w:ascii="黑体" w:eastAsia="黑体" w:hAnsi="黑体" w:hint="eastAsia"/>
          <w:sz w:val="36"/>
          <w:szCs w:val="36"/>
        </w:rPr>
        <w:t>编制说明</w:t>
      </w:r>
    </w:p>
    <w:p w14:paraId="5985FA4A" w14:textId="77777777" w:rsidR="000731EE" w:rsidRDefault="00000000">
      <w:pPr>
        <w:pStyle w:val="a3"/>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14:paraId="03DFBEE8"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（一）任务来源</w:t>
      </w:r>
    </w:p>
    <w:p w14:paraId="39AB6B7A" w14:textId="481550C1"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本标准由河北省市场监督管理局</w:t>
      </w:r>
      <w:r w:rsidR="00CC1570">
        <w:rPr>
          <w:rFonts w:ascii="仿宋_GB2312" w:eastAsia="仿宋_GB2312" w:hint="eastAsia"/>
          <w:sz w:val="28"/>
          <w:szCs w:val="28"/>
        </w:rPr>
        <w:t>特种设备局</w:t>
      </w:r>
      <w:r>
        <w:rPr>
          <w:rFonts w:ascii="仿宋_GB2312" w:eastAsia="仿宋_GB2312" w:hint="eastAsia"/>
          <w:sz w:val="28"/>
          <w:szCs w:val="28"/>
        </w:rPr>
        <w:t>提出</w:t>
      </w:r>
      <w:r>
        <w:rPr>
          <w:rFonts w:ascii="仿宋_GB2312" w:eastAsia="仿宋_GB2312"/>
          <w:sz w:val="28"/>
          <w:szCs w:val="28"/>
        </w:rPr>
        <w:t>，</w:t>
      </w:r>
      <w:r>
        <w:rPr>
          <w:rFonts w:ascii="仿宋_GB2312" w:eastAsia="仿宋_GB2312" w:hint="eastAsia"/>
          <w:sz w:val="28"/>
          <w:szCs w:val="28"/>
        </w:rPr>
        <w:t>经河北</w:t>
      </w:r>
      <w:r w:rsidR="00167AAE">
        <w:rPr>
          <w:rFonts w:ascii="仿宋_GB2312" w:eastAsia="仿宋_GB2312" w:hint="eastAsia"/>
          <w:sz w:val="28"/>
          <w:szCs w:val="28"/>
        </w:rPr>
        <w:t>省特种设备学会</w:t>
      </w:r>
      <w:r>
        <w:rPr>
          <w:rFonts w:ascii="仿宋_GB2312" w:eastAsia="仿宋_GB2312" w:hint="eastAsia"/>
          <w:sz w:val="28"/>
          <w:szCs w:val="28"/>
        </w:rPr>
        <w:t>批准，正式列入202</w:t>
      </w:r>
      <w:r w:rsidR="00167AAE">
        <w:rPr>
          <w:rFonts w:ascii="仿宋_GB2312" w:eastAsia="仿宋_GB2312"/>
          <w:sz w:val="28"/>
          <w:szCs w:val="28"/>
        </w:rPr>
        <w:t>3</w:t>
      </w:r>
      <w:r>
        <w:rPr>
          <w:rFonts w:ascii="仿宋_GB2312" w:eastAsia="仿宋_GB2312" w:hint="eastAsia"/>
          <w:sz w:val="28"/>
          <w:szCs w:val="28"/>
        </w:rPr>
        <w:t>年河北省</w:t>
      </w:r>
      <w:r w:rsidR="002F259F">
        <w:rPr>
          <w:rFonts w:ascii="仿宋_GB2312" w:eastAsia="仿宋_GB2312" w:hint="eastAsia"/>
          <w:sz w:val="28"/>
          <w:szCs w:val="28"/>
        </w:rPr>
        <w:t>特种设备学会</w:t>
      </w:r>
      <w:r>
        <w:rPr>
          <w:rFonts w:ascii="仿宋_GB2312" w:eastAsia="仿宋_GB2312" w:hint="eastAsia"/>
          <w:sz w:val="28"/>
          <w:szCs w:val="28"/>
        </w:rPr>
        <w:t>团体标准制修订计划，项目编号为CY202302，项目名称为《气瓶充装操作规程》。</w:t>
      </w:r>
    </w:p>
    <w:p w14:paraId="0046ECB5" w14:textId="1B4CA34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本标准起草单位：河北省特种设备学会</w:t>
      </w:r>
    </w:p>
    <w:p w14:paraId="3BF396DF" w14:textId="74B39002"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本标准主要起草人：尹建平、曹永杰、王宗新、白春动、张佳旭、田淑芬、刘伟、仝国彪、刘铁生</w:t>
      </w:r>
      <w:r w:rsidR="00366B26">
        <w:rPr>
          <w:rFonts w:ascii="仿宋_GB2312" w:eastAsia="仿宋_GB2312" w:hint="eastAsia"/>
          <w:sz w:val="28"/>
          <w:szCs w:val="28"/>
        </w:rPr>
        <w:t>、彭村</w:t>
      </w:r>
    </w:p>
    <w:p w14:paraId="0AEFCEEB"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（二）制定背景</w:t>
      </w:r>
    </w:p>
    <w:p w14:paraId="2CE1D06F"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1.目的</w:t>
      </w:r>
    </w:p>
    <w:p w14:paraId="6E05FB9A"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规范气瓶充装工作，推进气瓶充装工作标准化、流程化，保障气瓶充装安全。</w:t>
      </w:r>
    </w:p>
    <w:p w14:paraId="76923582"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2.意义</w:t>
      </w:r>
    </w:p>
    <w:p w14:paraId="621BB216"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随着国家经济的增长，我国从事压缩气体、冷冻液化气体、高低压液化气和和溶解气体的充装站越来越多，仅从事工业气体</w:t>
      </w:r>
      <w:r>
        <w:rPr>
          <w:rFonts w:ascii="仿宋_GB2312" w:eastAsia="仿宋_GB2312"/>
          <w:sz w:val="28"/>
          <w:szCs w:val="28"/>
        </w:rPr>
        <w:t>(氧气,乙炔气,氢气,烃</w:t>
      </w:r>
      <w:r>
        <w:rPr>
          <w:rFonts w:ascii="仿宋_GB2312" w:eastAsia="仿宋_GB2312" w:hint="eastAsia"/>
          <w:sz w:val="28"/>
          <w:szCs w:val="28"/>
        </w:rPr>
        <w:t>类气体</w:t>
      </w:r>
      <w:r>
        <w:rPr>
          <w:rFonts w:ascii="仿宋_GB2312" w:eastAsia="仿宋_GB2312"/>
          <w:sz w:val="28"/>
          <w:szCs w:val="28"/>
        </w:rPr>
        <w:t>,惰性气体及其他气体等)充装站约一万余</w:t>
      </w:r>
      <w:r>
        <w:rPr>
          <w:rFonts w:ascii="仿宋_GB2312" w:eastAsia="仿宋_GB2312" w:hint="eastAsia"/>
          <w:sz w:val="28"/>
          <w:szCs w:val="28"/>
        </w:rPr>
        <w:t>家</w:t>
      </w:r>
      <w:r>
        <w:rPr>
          <w:rFonts w:ascii="仿宋_GB2312" w:eastAsia="仿宋_GB2312"/>
          <w:sz w:val="28"/>
          <w:szCs w:val="28"/>
        </w:rPr>
        <w:t>,其对促进工业生产发展,满足和方便人民生活，</w:t>
      </w:r>
      <w:r>
        <w:rPr>
          <w:rFonts w:ascii="仿宋_GB2312" w:eastAsia="仿宋_GB2312" w:hint="eastAsia"/>
          <w:sz w:val="28"/>
          <w:szCs w:val="28"/>
        </w:rPr>
        <w:t>起到了积极的作用</w:t>
      </w:r>
      <w:r>
        <w:rPr>
          <w:rFonts w:ascii="仿宋_GB2312" w:eastAsia="仿宋_GB2312"/>
          <w:sz w:val="28"/>
          <w:szCs w:val="28"/>
        </w:rPr>
        <w:t>,取得了良好的经济效益和社会效</w:t>
      </w:r>
      <w:r>
        <w:rPr>
          <w:rFonts w:ascii="仿宋_GB2312" w:eastAsia="仿宋_GB2312" w:hint="eastAsia"/>
          <w:sz w:val="28"/>
          <w:szCs w:val="28"/>
        </w:rPr>
        <w:t>益。</w:t>
      </w:r>
      <w:r>
        <w:rPr>
          <w:rFonts w:ascii="仿宋_GB2312" w:eastAsia="仿宋_GB2312"/>
          <w:sz w:val="28"/>
          <w:szCs w:val="28"/>
        </w:rPr>
        <w:t>但是气体</w:t>
      </w:r>
      <w:r>
        <w:rPr>
          <w:rFonts w:ascii="仿宋_GB2312" w:eastAsia="仿宋_GB2312" w:hint="eastAsia"/>
          <w:sz w:val="28"/>
          <w:szCs w:val="28"/>
        </w:rPr>
        <w:t>充装</w:t>
      </w:r>
      <w:r>
        <w:rPr>
          <w:rFonts w:ascii="仿宋_GB2312" w:eastAsia="仿宋_GB2312"/>
          <w:sz w:val="28"/>
          <w:szCs w:val="28"/>
        </w:rPr>
        <w:t>是一个特殊的行业,许多产品</w:t>
      </w:r>
      <w:r>
        <w:rPr>
          <w:rFonts w:ascii="仿宋_GB2312" w:eastAsia="仿宋_GB2312" w:hint="eastAsia"/>
          <w:sz w:val="28"/>
          <w:szCs w:val="28"/>
        </w:rPr>
        <w:t>属于易燃易爆物质</w:t>
      </w:r>
      <w:r>
        <w:rPr>
          <w:rFonts w:ascii="仿宋_GB2312" w:eastAsia="仿宋_GB2312"/>
          <w:sz w:val="28"/>
          <w:szCs w:val="28"/>
        </w:rPr>
        <w:t>(如天然气、氢气</w:t>
      </w:r>
      <w:r>
        <w:rPr>
          <w:rFonts w:ascii="仿宋_GB2312" w:eastAsia="仿宋_GB2312" w:hint="eastAsia"/>
          <w:sz w:val="28"/>
          <w:szCs w:val="28"/>
        </w:rPr>
        <w:t>、</w:t>
      </w:r>
      <w:r>
        <w:rPr>
          <w:rFonts w:ascii="仿宋_GB2312" w:eastAsia="仿宋_GB2312"/>
          <w:sz w:val="28"/>
          <w:szCs w:val="28"/>
        </w:rPr>
        <w:t>氧气</w:t>
      </w:r>
      <w:r>
        <w:rPr>
          <w:rFonts w:ascii="仿宋_GB2312" w:eastAsia="仿宋_GB2312" w:hint="eastAsia"/>
          <w:sz w:val="28"/>
          <w:szCs w:val="28"/>
        </w:rPr>
        <w:t>、</w:t>
      </w:r>
      <w:r>
        <w:rPr>
          <w:rFonts w:ascii="仿宋_GB2312" w:eastAsia="仿宋_GB2312"/>
          <w:sz w:val="28"/>
          <w:szCs w:val="28"/>
        </w:rPr>
        <w:t>乙炔气等),其</w:t>
      </w:r>
      <w:r>
        <w:rPr>
          <w:rFonts w:ascii="仿宋_GB2312" w:eastAsia="仿宋_GB2312" w:hint="eastAsia"/>
          <w:sz w:val="28"/>
          <w:szCs w:val="28"/>
        </w:rPr>
        <w:t>充装站属于一类防火甲级或乙级防爆单位，且气体充装站在生产的过程中，整个系统不可能在完全封闭的状态下进行充装，</w:t>
      </w:r>
      <w:r>
        <w:rPr>
          <w:rFonts w:ascii="仿宋_GB2312" w:eastAsia="仿宋_GB2312"/>
          <w:sz w:val="28"/>
          <w:szCs w:val="28"/>
        </w:rPr>
        <w:t>目前</w:t>
      </w:r>
      <w:r>
        <w:rPr>
          <w:rFonts w:ascii="仿宋_GB2312" w:eastAsia="仿宋_GB2312" w:hint="eastAsia"/>
          <w:sz w:val="28"/>
          <w:szCs w:val="28"/>
        </w:rPr>
        <w:t>还</w:t>
      </w:r>
      <w:r>
        <w:rPr>
          <w:rFonts w:ascii="仿宋_GB2312" w:eastAsia="仿宋_GB2312"/>
          <w:sz w:val="28"/>
          <w:szCs w:val="28"/>
        </w:rPr>
        <w:t>不能实现全部无人操</w:t>
      </w:r>
      <w:r>
        <w:rPr>
          <w:rFonts w:ascii="仿宋_GB2312" w:eastAsia="仿宋_GB2312" w:hint="eastAsia"/>
          <w:sz w:val="28"/>
          <w:szCs w:val="28"/>
        </w:rPr>
        <w:t>作。</w:t>
      </w:r>
      <w:r>
        <w:rPr>
          <w:rFonts w:ascii="仿宋_GB2312" w:eastAsia="仿宋_GB2312"/>
          <w:sz w:val="28"/>
          <w:szCs w:val="28"/>
        </w:rPr>
        <w:t>气体充装的过程中总是存在一定的危险</w:t>
      </w:r>
      <w:r>
        <w:rPr>
          <w:rFonts w:ascii="仿宋_GB2312" w:eastAsia="仿宋_GB2312" w:hint="eastAsia"/>
          <w:sz w:val="28"/>
          <w:szCs w:val="28"/>
        </w:rPr>
        <w:t>性和不确定性。</w:t>
      </w:r>
      <w:r>
        <w:rPr>
          <w:rFonts w:ascii="仿宋_GB2312" w:eastAsia="仿宋_GB2312"/>
          <w:sz w:val="28"/>
          <w:szCs w:val="28"/>
        </w:rPr>
        <w:t>从分析</w:t>
      </w:r>
      <w:r>
        <w:rPr>
          <w:rFonts w:ascii="仿宋_GB2312" w:eastAsia="仿宋_GB2312" w:hint="eastAsia"/>
          <w:sz w:val="28"/>
          <w:szCs w:val="28"/>
        </w:rPr>
        <w:t>气瓶充装</w:t>
      </w:r>
      <w:r>
        <w:rPr>
          <w:rFonts w:ascii="仿宋_GB2312" w:eastAsia="仿宋_GB2312"/>
          <w:sz w:val="28"/>
          <w:szCs w:val="28"/>
        </w:rPr>
        <w:t>事故发生的原因看,</w:t>
      </w:r>
      <w:r>
        <w:rPr>
          <w:rFonts w:ascii="仿宋_GB2312" w:eastAsia="仿宋_GB2312" w:hint="eastAsia"/>
          <w:sz w:val="28"/>
          <w:szCs w:val="28"/>
        </w:rPr>
        <w:t>导致事放发生的因素具有多样性</w:t>
      </w:r>
      <w:r>
        <w:rPr>
          <w:rFonts w:ascii="仿宋_GB2312" w:eastAsia="仿宋_GB2312"/>
          <w:sz w:val="28"/>
          <w:szCs w:val="28"/>
        </w:rPr>
        <w:t>,在气瓶充装的过程中</w:t>
      </w:r>
      <w:r>
        <w:rPr>
          <w:rFonts w:ascii="仿宋_GB2312" w:eastAsia="仿宋_GB2312" w:hint="eastAsia"/>
          <w:sz w:val="28"/>
          <w:szCs w:val="28"/>
        </w:rPr>
        <w:t>，人的因素和</w:t>
      </w:r>
      <w:r>
        <w:rPr>
          <w:rFonts w:ascii="仿宋_GB2312" w:eastAsia="仿宋_GB2312"/>
          <w:sz w:val="28"/>
          <w:szCs w:val="28"/>
        </w:rPr>
        <w:t>管理</w:t>
      </w:r>
      <w:r>
        <w:rPr>
          <w:rFonts w:ascii="仿宋_GB2312" w:eastAsia="仿宋_GB2312" w:hint="eastAsia"/>
          <w:sz w:val="28"/>
          <w:szCs w:val="28"/>
        </w:rPr>
        <w:t>因素占了大多数。</w:t>
      </w:r>
    </w:p>
    <w:p w14:paraId="5B8BEB8E"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通过气体充装站事故原因分析表明，人为失误导致事故占的比重较大</w:t>
      </w:r>
      <w:r>
        <w:rPr>
          <w:rFonts w:ascii="仿宋_GB2312" w:eastAsia="仿宋_GB2312"/>
          <w:sz w:val="28"/>
          <w:szCs w:val="28"/>
        </w:rPr>
        <w:t>,在充装过程中,操作者的行</w:t>
      </w:r>
      <w:r>
        <w:rPr>
          <w:rFonts w:ascii="仿宋_GB2312" w:eastAsia="仿宋_GB2312" w:hint="eastAsia"/>
          <w:sz w:val="28"/>
          <w:szCs w:val="28"/>
        </w:rPr>
        <w:t>为特性往往受自身素质、经验和管理条件制约。</w:t>
      </w:r>
      <w:r>
        <w:rPr>
          <w:rFonts w:ascii="仿宋_GB2312" w:eastAsia="仿宋_GB2312"/>
          <w:sz w:val="28"/>
          <w:szCs w:val="28"/>
        </w:rPr>
        <w:t>在充装过程中,</w:t>
      </w:r>
      <w:r>
        <w:rPr>
          <w:rFonts w:ascii="仿宋_GB2312" w:eastAsia="仿宋_GB2312" w:hint="eastAsia"/>
          <w:sz w:val="28"/>
          <w:szCs w:val="28"/>
        </w:rPr>
        <w:t>作业人员</w:t>
      </w:r>
      <w:r>
        <w:rPr>
          <w:rFonts w:ascii="仿宋_GB2312" w:eastAsia="仿宋_GB2312"/>
          <w:sz w:val="28"/>
          <w:szCs w:val="28"/>
        </w:rPr>
        <w:t>必须严格按照岗位操</w:t>
      </w:r>
      <w:r>
        <w:rPr>
          <w:rFonts w:ascii="仿宋_GB2312" w:eastAsia="仿宋_GB2312" w:hint="eastAsia"/>
          <w:sz w:val="28"/>
          <w:szCs w:val="28"/>
        </w:rPr>
        <w:t>作规程充装</w:t>
      </w:r>
      <w:r>
        <w:rPr>
          <w:rFonts w:ascii="仿宋_GB2312" w:eastAsia="仿宋_GB2312" w:hint="eastAsia"/>
          <w:sz w:val="28"/>
          <w:szCs w:val="28"/>
        </w:rPr>
        <w:lastRenderedPageBreak/>
        <w:t>气体</w:t>
      </w:r>
      <w:r>
        <w:rPr>
          <w:rFonts w:ascii="仿宋_GB2312" w:eastAsia="仿宋_GB2312"/>
          <w:sz w:val="28"/>
          <w:szCs w:val="28"/>
        </w:rPr>
        <w:t>,</w:t>
      </w:r>
      <w:r>
        <w:rPr>
          <w:rFonts w:ascii="仿宋_GB2312" w:eastAsia="仿宋_GB2312" w:hint="eastAsia"/>
          <w:sz w:val="28"/>
          <w:szCs w:val="28"/>
        </w:rPr>
        <w:t>擅自进行充装或因麻痹大意导致的失误等违章操作都可能引发气瓶事故，所以建立气瓶充装</w:t>
      </w:r>
      <w:r>
        <w:rPr>
          <w:rFonts w:ascii="仿宋_GB2312" w:eastAsia="仿宋_GB2312"/>
          <w:sz w:val="28"/>
          <w:szCs w:val="28"/>
        </w:rPr>
        <w:t>操作规程</w:t>
      </w:r>
      <w:r>
        <w:rPr>
          <w:rFonts w:ascii="仿宋_GB2312" w:eastAsia="仿宋_GB2312" w:hint="eastAsia"/>
          <w:sz w:val="28"/>
          <w:szCs w:val="28"/>
        </w:rPr>
        <w:t>是气瓶充装单位</w:t>
      </w:r>
      <w:r>
        <w:rPr>
          <w:rFonts w:ascii="仿宋_GB2312" w:eastAsia="仿宋_GB2312"/>
          <w:sz w:val="28"/>
          <w:szCs w:val="28"/>
        </w:rPr>
        <w:t>管理的重要内容</w:t>
      </w:r>
      <w:r>
        <w:rPr>
          <w:rFonts w:ascii="仿宋_GB2312" w:eastAsia="仿宋_GB2312" w:hint="eastAsia"/>
          <w:sz w:val="28"/>
          <w:szCs w:val="28"/>
        </w:rPr>
        <w:t>。</w:t>
      </w:r>
    </w:p>
    <w:p w14:paraId="21D88034"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河北省团体标准《气瓶充装操作规程》的制定和实施，适应我省经济社会发展的需求，有利于气瓶充装的安全作业，也有利于气瓶充装工作标准化、流程化、规范化，对于保障河北省气瓶充装工作安全具有重要意义。</w:t>
      </w:r>
    </w:p>
    <w:p w14:paraId="09BB07A9"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（三）工作过程</w:t>
      </w:r>
    </w:p>
    <w:p w14:paraId="67219DC8" w14:textId="00F98F6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河北省地方标准《气瓶充装操作规程》项目起草工作组首先成立了标准编制小组，确定小组成员，并对各成员进行了具体分工，分别开展了相关资料的收集分析和深入的调研工作，在总结以往气瓶充装工作的基础上制订了编写计划。在总结历年科学研究和实践经验的基础上，参照了同行编写的有关标准，草拟出《气瓶充装操作规程》的初稿。工作组多次组织人员对初稿进行讨论，广泛征求行业专家的各种意见，共收到意见和建议36条。起草工作组在对征求得来的全部意见或建议进行了认真汇总和分析研究的基础上，采纳修改意见30条，未采纳8条，完成了现在的标准草案送审稿及其附件的编制工作。</w:t>
      </w:r>
    </w:p>
    <w:p w14:paraId="0FAEF520" w14:textId="77777777" w:rsidR="000731EE" w:rsidRDefault="00000000">
      <w:pPr>
        <w:pStyle w:val="a3"/>
        <w:spacing w:line="440" w:lineRule="exact"/>
        <w:ind w:firstLine="562"/>
        <w:rPr>
          <w:rFonts w:ascii="仿宋_GB2312" w:eastAsia="仿宋_GB2312"/>
          <w:b/>
          <w:sz w:val="28"/>
          <w:szCs w:val="28"/>
        </w:rPr>
      </w:pPr>
      <w:r>
        <w:rPr>
          <w:rFonts w:ascii="仿宋_GB2312" w:eastAsia="仿宋_GB2312" w:hint="eastAsia"/>
          <w:b/>
          <w:sz w:val="28"/>
          <w:szCs w:val="28"/>
        </w:rPr>
        <w:t>二</w:t>
      </w:r>
      <w:r>
        <w:rPr>
          <w:rFonts w:ascii="仿宋_GB2312" w:eastAsia="仿宋_GB2312"/>
          <w:b/>
          <w:sz w:val="28"/>
          <w:szCs w:val="28"/>
        </w:rPr>
        <w:t>、制定标准的原则和依据，与现行法律、法规、标准的关系</w:t>
      </w:r>
    </w:p>
    <w:p w14:paraId="45FE7C94"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本标准按照GB/T 1.1—2020《标准化工作导则  第1部分：标准化文件的结构和起草规则》的规定起草。</w:t>
      </w:r>
      <w:r>
        <w:rPr>
          <w:rFonts w:ascii="仿宋_GB2312" w:eastAsia="仿宋_GB2312"/>
          <w:sz w:val="28"/>
          <w:szCs w:val="28"/>
        </w:rPr>
        <w:t>本标准制定过程中参考了国外标准</w:t>
      </w:r>
      <w:r>
        <w:rPr>
          <w:rFonts w:ascii="仿宋_GB2312" w:eastAsia="仿宋_GB2312" w:hint="eastAsia"/>
          <w:sz w:val="28"/>
          <w:szCs w:val="28"/>
        </w:rPr>
        <w:t>如CGA P-15《工业和医用非易燃压缩气体钢瓶的充装》、CGA P-2.5《呼吸用高压气态氧的转移充填》、CGA P-2.6《呼吸用液氧的转移充填》及国内标准</w:t>
      </w:r>
      <w:r>
        <w:rPr>
          <w:rFonts w:ascii="仿宋_GB2312" w:eastAsia="仿宋_GB2312"/>
          <w:sz w:val="28"/>
          <w:szCs w:val="28"/>
        </w:rPr>
        <w:t>《</w:t>
      </w:r>
      <w:r>
        <w:rPr>
          <w:rFonts w:ascii="仿宋_GB2312" w:eastAsia="仿宋_GB2312" w:hint="eastAsia"/>
          <w:sz w:val="28"/>
          <w:szCs w:val="28"/>
        </w:rPr>
        <w:t>压缩气体</w:t>
      </w:r>
      <w:r>
        <w:rPr>
          <w:rFonts w:ascii="仿宋_GB2312" w:eastAsia="仿宋_GB2312"/>
          <w:sz w:val="28"/>
          <w:szCs w:val="28"/>
        </w:rPr>
        <w:t>充装规定》、《</w:t>
      </w:r>
      <w:r>
        <w:rPr>
          <w:rFonts w:ascii="仿宋_GB2312" w:eastAsia="仿宋_GB2312" w:hint="eastAsia"/>
          <w:sz w:val="28"/>
          <w:szCs w:val="28"/>
        </w:rPr>
        <w:t>液化气体</w:t>
      </w:r>
      <w:r>
        <w:rPr>
          <w:rFonts w:ascii="仿宋_GB2312" w:eastAsia="仿宋_GB2312"/>
          <w:sz w:val="28"/>
          <w:szCs w:val="28"/>
        </w:rPr>
        <w:t>充装规定》、《</w:t>
      </w:r>
      <w:r>
        <w:rPr>
          <w:rFonts w:ascii="仿宋_GB2312" w:eastAsia="仿宋_GB2312" w:hint="eastAsia"/>
          <w:sz w:val="28"/>
          <w:szCs w:val="28"/>
        </w:rPr>
        <w:t>溶解乙炔气体</w:t>
      </w:r>
      <w:r>
        <w:rPr>
          <w:rFonts w:ascii="仿宋_GB2312" w:eastAsia="仿宋_GB2312"/>
          <w:sz w:val="28"/>
          <w:szCs w:val="28"/>
        </w:rPr>
        <w:t>充装规定》等标准。本标准符合现行法律、法规、标准的要求。</w:t>
      </w:r>
    </w:p>
    <w:p w14:paraId="4EFE1D32" w14:textId="77777777" w:rsidR="000731EE" w:rsidRDefault="00000000">
      <w:pPr>
        <w:pStyle w:val="a3"/>
        <w:spacing w:line="440" w:lineRule="exact"/>
        <w:ind w:firstLine="562"/>
        <w:rPr>
          <w:rFonts w:ascii="仿宋_GB2312" w:eastAsia="仿宋_GB2312"/>
          <w:b/>
          <w:sz w:val="28"/>
          <w:szCs w:val="28"/>
        </w:rPr>
      </w:pPr>
      <w:r>
        <w:rPr>
          <w:rFonts w:ascii="仿宋_GB2312" w:eastAsia="仿宋_GB2312" w:hint="eastAsia"/>
          <w:b/>
          <w:sz w:val="28"/>
          <w:szCs w:val="28"/>
        </w:rPr>
        <w:t>三、采用国际标准和国外先进标准情况，以及与国内外同类标准水平的对比情况</w:t>
      </w:r>
    </w:p>
    <w:p w14:paraId="05B2E26E"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14:paraId="3AA55294" w14:textId="77777777" w:rsidR="000731EE" w:rsidRDefault="00000000">
      <w:pPr>
        <w:pStyle w:val="a3"/>
        <w:spacing w:line="440" w:lineRule="exact"/>
        <w:ind w:firstLine="562"/>
        <w:rPr>
          <w:rFonts w:ascii="仿宋_GB2312" w:eastAsia="仿宋_GB2312"/>
          <w:b/>
          <w:sz w:val="28"/>
          <w:szCs w:val="28"/>
        </w:rPr>
      </w:pPr>
      <w:r>
        <w:rPr>
          <w:rFonts w:ascii="仿宋_GB2312" w:eastAsia="仿宋_GB2312" w:hint="eastAsia"/>
          <w:b/>
          <w:sz w:val="28"/>
          <w:szCs w:val="28"/>
        </w:rPr>
        <w:t>四、与有关法律、法规、强制性国家标准的关系</w:t>
      </w:r>
    </w:p>
    <w:p w14:paraId="735DCF94"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本标准是在国家相关的法律、法规和强制性国家标准的基础上结合行业特点制定出来的，因此与它们没有冲突。</w:t>
      </w:r>
    </w:p>
    <w:p w14:paraId="70F15C78" w14:textId="77777777" w:rsidR="000731EE" w:rsidRDefault="00000000">
      <w:pPr>
        <w:pStyle w:val="a3"/>
        <w:spacing w:line="440" w:lineRule="exact"/>
        <w:ind w:firstLine="562"/>
        <w:rPr>
          <w:rFonts w:ascii="仿宋_GB2312" w:eastAsia="仿宋_GB2312"/>
          <w:b/>
          <w:sz w:val="28"/>
          <w:szCs w:val="28"/>
        </w:rPr>
      </w:pPr>
      <w:r>
        <w:rPr>
          <w:rFonts w:ascii="仿宋_GB2312" w:eastAsia="仿宋_GB2312" w:hint="eastAsia"/>
          <w:b/>
          <w:sz w:val="28"/>
          <w:szCs w:val="28"/>
        </w:rPr>
        <w:lastRenderedPageBreak/>
        <w:t>五、重大意见分歧的处理经过和依据</w:t>
      </w:r>
    </w:p>
    <w:p w14:paraId="76756399"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标准充分反映了多数专家的意见，由于标准编制小组人员的水平有限，本标准的内容以及各个单项指标免不了有不足之处,有待在实践中修订。</w:t>
      </w:r>
    </w:p>
    <w:p w14:paraId="107AD61A" w14:textId="77777777" w:rsidR="000731EE" w:rsidRDefault="00000000">
      <w:pPr>
        <w:pStyle w:val="a3"/>
        <w:spacing w:line="440" w:lineRule="exact"/>
        <w:ind w:firstLine="562"/>
        <w:rPr>
          <w:rFonts w:ascii="仿宋_GB2312" w:eastAsia="仿宋_GB2312"/>
          <w:b/>
          <w:sz w:val="28"/>
          <w:szCs w:val="28"/>
        </w:rPr>
      </w:pPr>
      <w:r>
        <w:rPr>
          <w:rFonts w:ascii="仿宋_GB2312" w:eastAsia="仿宋_GB2312" w:hint="eastAsia"/>
          <w:b/>
          <w:sz w:val="28"/>
          <w:szCs w:val="28"/>
        </w:rPr>
        <w:t>六、涉及专利的有关说明</w:t>
      </w:r>
    </w:p>
    <w:p w14:paraId="53745E1D"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本标准不涉及相关专利。</w:t>
      </w:r>
    </w:p>
    <w:p w14:paraId="324B60FE" w14:textId="77777777" w:rsidR="000731EE" w:rsidRDefault="00000000">
      <w:pPr>
        <w:spacing w:line="500" w:lineRule="exact"/>
        <w:ind w:firstLineChars="200" w:firstLine="562"/>
        <w:rPr>
          <w:rFonts w:ascii="仿宋_GB2312" w:eastAsia="仿宋_GB2312"/>
          <w:b/>
          <w:kern w:val="0"/>
          <w:sz w:val="28"/>
          <w:szCs w:val="28"/>
        </w:rPr>
      </w:pPr>
      <w:r>
        <w:rPr>
          <w:rFonts w:ascii="仿宋_GB2312" w:eastAsia="仿宋_GB2312" w:hint="eastAsia"/>
          <w:b/>
          <w:kern w:val="0"/>
          <w:sz w:val="28"/>
          <w:szCs w:val="28"/>
        </w:rPr>
        <w:t>七、贯彻标准的要求和建议措施</w:t>
      </w:r>
    </w:p>
    <w:p w14:paraId="10D4BDAD"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建议本标准发布后，要加大宣传力度，将标准公布的消息在多家媒体报道，扩大知名度，举办标准宣传贯彻培训班，指导相关企业规范气瓶充装工作。建立气瓶充装工作标准化示范企业，以河北省为主、邻近省份气瓶充装工作可以参考本标准。依托标准的实施，全面提高全省气瓶充装操作水平。同时，广泛收集标准实施过程中的问题和改进建议，为将来进一步完善标准作好准备。</w:t>
      </w:r>
    </w:p>
    <w:p w14:paraId="4C7D61AD" w14:textId="77777777" w:rsidR="000731EE" w:rsidRDefault="00000000">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八、其他应当说明的事项</w:t>
      </w:r>
    </w:p>
    <w:p w14:paraId="0118FCCC" w14:textId="77777777" w:rsidR="000731EE" w:rsidRDefault="00000000">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p w14:paraId="36A6D482" w14:textId="77777777" w:rsidR="000731EE" w:rsidRDefault="000731EE">
      <w:pPr>
        <w:jc w:val="left"/>
        <w:rPr>
          <w:rFonts w:ascii="黑体" w:eastAsia="黑体" w:hAnsi="黑体"/>
          <w:sz w:val="36"/>
          <w:szCs w:val="36"/>
        </w:rPr>
      </w:pPr>
    </w:p>
    <w:sectPr w:rsidR="000731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2F557" w14:textId="77777777" w:rsidR="00D31148" w:rsidRDefault="00D31148" w:rsidP="00366B26">
      <w:r>
        <w:separator/>
      </w:r>
    </w:p>
  </w:endnote>
  <w:endnote w:type="continuationSeparator" w:id="0">
    <w:p w14:paraId="16D493D9" w14:textId="77777777" w:rsidR="00D31148" w:rsidRDefault="00D31148" w:rsidP="0036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7470" w14:textId="77777777" w:rsidR="00D31148" w:rsidRDefault="00D31148" w:rsidP="00366B26">
      <w:r>
        <w:separator/>
      </w:r>
    </w:p>
  </w:footnote>
  <w:footnote w:type="continuationSeparator" w:id="0">
    <w:p w14:paraId="1BD1B73E" w14:textId="77777777" w:rsidR="00D31148" w:rsidRDefault="00D31148" w:rsidP="00366B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M1YmU4ZWM3YjM3ZDE2OGJiNjU1MWRiNTgxZDQ1OWQifQ=="/>
  </w:docVars>
  <w:rsids>
    <w:rsidRoot w:val="00475464"/>
    <w:rsid w:val="000731EE"/>
    <w:rsid w:val="00167AAE"/>
    <w:rsid w:val="00213185"/>
    <w:rsid w:val="002F259F"/>
    <w:rsid w:val="002F76AC"/>
    <w:rsid w:val="00366B26"/>
    <w:rsid w:val="003F034B"/>
    <w:rsid w:val="00473E2D"/>
    <w:rsid w:val="00475464"/>
    <w:rsid w:val="00535DEF"/>
    <w:rsid w:val="00537794"/>
    <w:rsid w:val="00612FB7"/>
    <w:rsid w:val="007B1E2B"/>
    <w:rsid w:val="007B240B"/>
    <w:rsid w:val="007D62D3"/>
    <w:rsid w:val="008C5CE1"/>
    <w:rsid w:val="008C62F8"/>
    <w:rsid w:val="00964522"/>
    <w:rsid w:val="00BA4239"/>
    <w:rsid w:val="00CC1570"/>
    <w:rsid w:val="00D31148"/>
    <w:rsid w:val="00E841EA"/>
    <w:rsid w:val="0A10779D"/>
    <w:rsid w:val="43EB3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F06DA"/>
  <w15:docId w15:val="{B5A455EF-1D23-460E-9BDA-7FF189EB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qFormat/>
    <w:pPr>
      <w:autoSpaceDE w:val="0"/>
      <w:autoSpaceDN w:val="0"/>
      <w:ind w:firstLineChars="200" w:firstLine="200"/>
      <w:jc w:val="both"/>
    </w:pPr>
    <w:rPr>
      <w:rFonts w:ascii="宋体" w:eastAsia="宋体" w:hAnsi="Times New Roman" w:cs="Times New Roman"/>
      <w:sz w:val="21"/>
    </w:rPr>
  </w:style>
  <w:style w:type="paragraph" w:customStyle="1" w:styleId="a4">
    <w:name w:val="标准文件_段"/>
    <w:qFormat/>
    <w:pPr>
      <w:autoSpaceDE w:val="0"/>
      <w:autoSpaceDN w:val="0"/>
      <w:ind w:firstLineChars="200" w:firstLine="200"/>
      <w:jc w:val="both"/>
    </w:pPr>
    <w:rPr>
      <w:rFonts w:ascii="宋体" w:eastAsia="宋体" w:hAnsi="Times New Roman" w:cs="Times New Roman"/>
      <w:sz w:val="21"/>
    </w:rPr>
  </w:style>
  <w:style w:type="paragraph" w:styleId="a5">
    <w:name w:val="header"/>
    <w:basedOn w:val="a"/>
    <w:link w:val="a6"/>
    <w:uiPriority w:val="99"/>
    <w:unhideWhenUsed/>
    <w:rsid w:val="00366B2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66B26"/>
    <w:rPr>
      <w:kern w:val="2"/>
      <w:sz w:val="18"/>
      <w:szCs w:val="18"/>
    </w:rPr>
  </w:style>
  <w:style w:type="paragraph" w:styleId="a7">
    <w:name w:val="footer"/>
    <w:basedOn w:val="a"/>
    <w:link w:val="a8"/>
    <w:uiPriority w:val="99"/>
    <w:unhideWhenUsed/>
    <w:rsid w:val="00366B26"/>
    <w:pPr>
      <w:tabs>
        <w:tab w:val="center" w:pos="4153"/>
        <w:tab w:val="right" w:pos="8306"/>
      </w:tabs>
      <w:snapToGrid w:val="0"/>
      <w:jc w:val="left"/>
    </w:pPr>
    <w:rPr>
      <w:sz w:val="18"/>
      <w:szCs w:val="18"/>
    </w:rPr>
  </w:style>
  <w:style w:type="character" w:customStyle="1" w:styleId="a8">
    <w:name w:val="页脚 字符"/>
    <w:basedOn w:val="a0"/>
    <w:link w:val="a7"/>
    <w:uiPriority w:val="99"/>
    <w:rsid w:val="00366B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265</Words>
  <Characters>1512</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万 增辉</cp:lastModifiedBy>
  <cp:revision>15</cp:revision>
  <dcterms:created xsi:type="dcterms:W3CDTF">2023-02-02T01:30:00Z</dcterms:created>
  <dcterms:modified xsi:type="dcterms:W3CDTF">2023-02-16T02:03:00Z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829F55C3931040CEB146215019EE62D3</vt:lpwstr>
  </property>
</Properties>
</file>