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BD080" w14:textId="77777777" w:rsidR="005B0219" w:rsidRDefault="005B0219">
      <w:pPr>
        <w:pStyle w:val="a4"/>
        <w:spacing w:before="0" w:after="0"/>
        <w:rPr>
          <w:sz w:val="36"/>
          <w:szCs w:val="36"/>
        </w:rPr>
      </w:pPr>
    </w:p>
    <w:p w14:paraId="517A9CFC" w14:textId="20D52A7D" w:rsidR="005B0219" w:rsidRDefault="00000000">
      <w:pPr>
        <w:pStyle w:val="a4"/>
        <w:spacing w:before="0" w:after="0" w:line="500" w:lineRule="exact"/>
        <w:rPr>
          <w:sz w:val="36"/>
          <w:szCs w:val="36"/>
        </w:rPr>
      </w:pPr>
      <w:r>
        <w:rPr>
          <w:rFonts w:hint="eastAsia"/>
          <w:sz w:val="36"/>
          <w:szCs w:val="36"/>
        </w:rPr>
        <w:t>河北省</w:t>
      </w:r>
      <w:r w:rsidR="001E0037">
        <w:rPr>
          <w:rFonts w:hint="eastAsia"/>
          <w:sz w:val="36"/>
          <w:szCs w:val="36"/>
        </w:rPr>
        <w:t>特种设备学会</w:t>
      </w:r>
      <w:r>
        <w:rPr>
          <w:rFonts w:hint="eastAsia"/>
          <w:sz w:val="36"/>
          <w:szCs w:val="36"/>
        </w:rPr>
        <w:t>团体标准</w:t>
      </w:r>
    </w:p>
    <w:p w14:paraId="67E54B42" w14:textId="77777777" w:rsidR="005B0219" w:rsidRDefault="00000000">
      <w:pPr>
        <w:pStyle w:val="a4"/>
        <w:spacing w:before="0" w:after="0" w:line="500" w:lineRule="exact"/>
        <w:rPr>
          <w:sz w:val="36"/>
          <w:szCs w:val="36"/>
        </w:rPr>
      </w:pPr>
      <w:r>
        <w:rPr>
          <w:rFonts w:hint="eastAsia"/>
          <w:sz w:val="36"/>
          <w:szCs w:val="36"/>
        </w:rPr>
        <w:t>《移动式压力容器充装操作规程》</w:t>
      </w:r>
    </w:p>
    <w:p w14:paraId="62850967" w14:textId="77777777" w:rsidR="005B0219" w:rsidRDefault="00000000">
      <w:pPr>
        <w:pStyle w:val="a4"/>
        <w:spacing w:before="0" w:after="0" w:line="500" w:lineRule="exact"/>
        <w:rPr>
          <w:sz w:val="36"/>
          <w:szCs w:val="36"/>
        </w:rPr>
      </w:pPr>
      <w:r>
        <w:rPr>
          <w:rFonts w:hint="eastAsia"/>
          <w:sz w:val="36"/>
          <w:szCs w:val="36"/>
        </w:rPr>
        <w:t>编制说明</w:t>
      </w:r>
    </w:p>
    <w:p w14:paraId="24C699DF" w14:textId="77777777" w:rsidR="005B0219" w:rsidRDefault="005B0219">
      <w:pPr>
        <w:pStyle w:val="a5"/>
        <w:ind w:firstLineChars="0" w:firstLine="0"/>
      </w:pPr>
    </w:p>
    <w:p w14:paraId="7209D79A" w14:textId="77777777" w:rsidR="005B0219" w:rsidRDefault="00000000">
      <w:pPr>
        <w:pStyle w:val="a5"/>
        <w:spacing w:line="440" w:lineRule="exact"/>
        <w:ind w:firstLine="562"/>
        <w:rPr>
          <w:rFonts w:ascii="仿宋_GB2312" w:eastAsia="仿宋_GB2312" w:hAnsi="宋体"/>
          <w:b/>
          <w:kern w:val="2"/>
          <w:sz w:val="28"/>
          <w:szCs w:val="28"/>
        </w:rPr>
      </w:pPr>
      <w:r>
        <w:rPr>
          <w:rFonts w:ascii="仿宋_GB2312" w:eastAsia="仿宋_GB2312" w:hAnsi="宋体" w:hint="eastAsia"/>
          <w:b/>
          <w:kern w:val="2"/>
          <w:sz w:val="28"/>
          <w:szCs w:val="28"/>
        </w:rPr>
        <w:t>一、工作简况</w:t>
      </w:r>
    </w:p>
    <w:p w14:paraId="7EA115BE"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（一）任务来源</w:t>
      </w:r>
    </w:p>
    <w:p w14:paraId="04CC2252" w14:textId="2E134982"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本标准由河北省</w:t>
      </w:r>
      <w:r w:rsidR="001E0037">
        <w:rPr>
          <w:rFonts w:ascii="仿宋_GB2312" w:eastAsia="仿宋_GB2312" w:hint="eastAsia"/>
          <w:sz w:val="28"/>
          <w:szCs w:val="28"/>
        </w:rPr>
        <w:t>市场监督管理局</w:t>
      </w:r>
      <w:r>
        <w:rPr>
          <w:rFonts w:ascii="仿宋_GB2312" w:eastAsia="仿宋_GB2312" w:hint="eastAsia"/>
          <w:sz w:val="28"/>
          <w:szCs w:val="28"/>
        </w:rPr>
        <w:t>特种设备</w:t>
      </w:r>
      <w:r w:rsidR="001E0037">
        <w:rPr>
          <w:rFonts w:ascii="仿宋_GB2312" w:eastAsia="仿宋_GB2312" w:hint="eastAsia"/>
          <w:sz w:val="28"/>
          <w:szCs w:val="28"/>
        </w:rPr>
        <w:t>局</w:t>
      </w:r>
      <w:r>
        <w:rPr>
          <w:rFonts w:ascii="仿宋_GB2312" w:eastAsia="仿宋_GB2312" w:hint="eastAsia"/>
          <w:sz w:val="28"/>
          <w:szCs w:val="28"/>
        </w:rPr>
        <w:t>提出，经河北省</w:t>
      </w:r>
      <w:r w:rsidR="001E0037">
        <w:rPr>
          <w:rFonts w:ascii="仿宋_GB2312" w:eastAsia="仿宋_GB2312" w:hint="eastAsia"/>
          <w:sz w:val="28"/>
          <w:szCs w:val="28"/>
        </w:rPr>
        <w:t>特种设备学会</w:t>
      </w:r>
      <w:r>
        <w:rPr>
          <w:rFonts w:ascii="仿宋_GB2312" w:eastAsia="仿宋_GB2312" w:hint="eastAsia"/>
          <w:sz w:val="28"/>
          <w:szCs w:val="28"/>
        </w:rPr>
        <w:t>批准立项，项目编号为CY202303，项目名称为《移动式压力容器充装操作规程》。</w:t>
      </w:r>
    </w:p>
    <w:p w14:paraId="264D66DA"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本标准起草单位：河北省特种设备监督检验研究院、石家庄市特种设备技术检查中心以及相关充装单位。</w:t>
      </w:r>
    </w:p>
    <w:p w14:paraId="026F827B"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本标准主要起草人：邹锦瑾、刘晓丽、米春青、孟显哲、陈建中吕捷、肖亮、宋金华。</w:t>
      </w:r>
    </w:p>
    <w:p w14:paraId="0AED4E87"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（二）制定背景</w:t>
      </w:r>
    </w:p>
    <w:p w14:paraId="4CEA3A1B"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1.目的</w:t>
      </w:r>
    </w:p>
    <w:p w14:paraId="50C3FCF5"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规范移动式压力容器充装工作，加强移动式压力容器充装单位的安全管理，及时控制和消除事故危害，减少移动式压力容器充装过程的事故发生。</w:t>
      </w:r>
    </w:p>
    <w:p w14:paraId="09CC27C9"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2.意义</w:t>
      </w:r>
    </w:p>
    <w:p w14:paraId="781F0942"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近年来，移动式压力容器充装事故时有发生，给百姓的正常生活带来了严重威胁。2010年5月24日 安徽液氨罐车在卸料过程中，因卸料的软管爆裂发生液氨泄漏，造成人员受伤。2012年2月20日，甘肃一辆液化石油气罐车在作业过程中发生爆炸，造成人员伤亡。2017年6月5日 临沂金誉物流石化罐车装卸泄漏重大爆炸着火事故造成重大人员伤亡和财产损失。据有关部门统计，移动式压力容器使用与充装过程中发生的事故占到移动式压力容器事故的17%。因此规范移动式压力容器充装过程，减少事故非常必要，急需一部移动式压力容器充装操作规程来指导规范充装站和装卸人员的操作。</w:t>
      </w:r>
    </w:p>
    <w:p w14:paraId="59B30E81"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河北省《移动式压力容器充装操作规程》的制定和实施，适应我国经济社会发展的需求，必将进一步促进规范移动式压力容器充装操</w:t>
      </w:r>
      <w:r>
        <w:rPr>
          <w:rFonts w:ascii="仿宋_GB2312" w:eastAsia="仿宋_GB2312" w:hint="eastAsia"/>
          <w:sz w:val="28"/>
          <w:szCs w:val="28"/>
        </w:rPr>
        <w:lastRenderedPageBreak/>
        <w:t>作，细化了《移动式压力容器充装许可规则》中对于充装过程的各项要求，对于我省移动式压力容器安全使用具有重要意义。</w:t>
      </w:r>
    </w:p>
    <w:p w14:paraId="4540497F" w14:textId="77777777" w:rsidR="005B0219" w:rsidRDefault="00000000">
      <w:pPr>
        <w:pStyle w:val="a5"/>
        <w:spacing w:line="440" w:lineRule="exact"/>
        <w:ind w:firstLine="562"/>
        <w:rPr>
          <w:rFonts w:ascii="仿宋_GB2312" w:eastAsia="仿宋_GB2312"/>
          <w:b/>
          <w:sz w:val="28"/>
          <w:szCs w:val="28"/>
        </w:rPr>
      </w:pPr>
      <w:r>
        <w:rPr>
          <w:rFonts w:ascii="仿宋_GB2312" w:eastAsia="仿宋_GB2312" w:hint="eastAsia"/>
          <w:b/>
          <w:sz w:val="28"/>
          <w:szCs w:val="28"/>
        </w:rPr>
        <w:t>二、编制原则、主要内容及确定依据</w:t>
      </w:r>
    </w:p>
    <w:p w14:paraId="4E5076C9"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（一） 编写原则</w:t>
      </w:r>
    </w:p>
    <w:p w14:paraId="7FE9DB33"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本标准按照GB/T 1.1—2020《标准化工作导则  第1部分：标准化文件的结构和起草规则》的规定起草。其编制遵循“先进性、实用性、统一性、规范性”的原则，尽可能与国际通行标准接轨，注重标准的可操作性。</w:t>
      </w:r>
    </w:p>
    <w:p w14:paraId="498B4018"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（二）主要内容</w:t>
      </w:r>
    </w:p>
    <w:p w14:paraId="7E26A943"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本文件规定了移动式压力容器充装的一般要求、通用操作规程、专用操作规程及异常情况处理。</w:t>
      </w:r>
    </w:p>
    <w:p w14:paraId="2C3879A9"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主要内容如下：</w:t>
      </w:r>
    </w:p>
    <w:p w14:paraId="0DA007DD"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标准中的4、基本要求：包括人员要求、设备要求、场地要求、安全要求。</w:t>
      </w:r>
    </w:p>
    <w:p w14:paraId="4F5A56FE"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标准中的5、通用操作规程：包括充装前检查、罐内介质分析和余压检测、充装、充装后检查等。</w:t>
      </w:r>
    </w:p>
    <w:p w14:paraId="57C82078"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标准中的6、专用操作规程：包括液氨罐车充装操作规程、液氯罐车充装操作规程、液化石油气罐车充装操作规程、二氧化碳罐车充装操作规程、冷冻液化气体充装操作规程、压缩气体充装操作规程等。</w:t>
      </w:r>
    </w:p>
    <w:p w14:paraId="33927F66"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标准中的7、异常情况的处理：包括：连结软管破裂、人员冻伤、着火、中毒、人员窒息、报告报警、应急处置等</w:t>
      </w:r>
    </w:p>
    <w:p w14:paraId="162E43CC"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标准附录A 确定了过量充装卸载要求。</w:t>
      </w:r>
    </w:p>
    <w:p w14:paraId="07EBB77D"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（三）主要内容的确定依据</w:t>
      </w:r>
    </w:p>
    <w:p w14:paraId="78EAE9BC"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本标准主要内容，来源于多年来对于移动式压力容器充装过程事故的调查研究，按照《移动式压力容器充装许可规则》对于充装的各项要求为支撑。</w:t>
      </w:r>
    </w:p>
    <w:p w14:paraId="6715BB65" w14:textId="77777777" w:rsidR="005B0219" w:rsidRDefault="00000000">
      <w:pPr>
        <w:pStyle w:val="a5"/>
        <w:spacing w:line="440" w:lineRule="exact"/>
        <w:ind w:leftChars="266" w:left="840" w:hangingChars="100" w:hanging="281"/>
        <w:rPr>
          <w:rFonts w:ascii="仿宋_GB2312" w:eastAsia="仿宋_GB2312"/>
          <w:sz w:val="28"/>
          <w:szCs w:val="28"/>
        </w:rPr>
      </w:pPr>
      <w:r>
        <w:rPr>
          <w:rFonts w:ascii="仿宋_GB2312" w:eastAsia="仿宋_GB2312" w:hint="eastAsia"/>
          <w:b/>
          <w:sz w:val="28"/>
          <w:szCs w:val="28"/>
        </w:rPr>
        <w:t>三、技术经济论证，预期的经济效果</w:t>
      </w:r>
      <w:r>
        <w:rPr>
          <w:rFonts w:ascii="仿宋_GB2312" w:eastAsia="仿宋_GB2312" w:hint="eastAsia"/>
          <w:b/>
          <w:sz w:val="28"/>
          <w:szCs w:val="28"/>
        </w:rPr>
        <w:br/>
      </w:r>
      <w:r>
        <w:rPr>
          <w:rFonts w:ascii="仿宋_GB2312" w:eastAsia="仿宋_GB2312" w:hint="eastAsia"/>
          <w:sz w:val="28"/>
          <w:szCs w:val="28"/>
        </w:rPr>
        <w:t>杜绝减少移动式压力容器事故发生，有效保障国家和人民财产安全。</w:t>
      </w:r>
    </w:p>
    <w:p w14:paraId="47C2F353" w14:textId="77777777" w:rsidR="005B0219" w:rsidRDefault="00000000">
      <w:pPr>
        <w:pStyle w:val="a5"/>
        <w:spacing w:line="440" w:lineRule="exact"/>
        <w:ind w:firstLine="562"/>
        <w:rPr>
          <w:rFonts w:ascii="仿宋_GB2312" w:eastAsia="仿宋_GB2312"/>
          <w:b/>
          <w:sz w:val="28"/>
          <w:szCs w:val="28"/>
        </w:rPr>
      </w:pPr>
      <w:r>
        <w:rPr>
          <w:rFonts w:ascii="仿宋_GB2312" w:eastAsia="仿宋_GB2312" w:hint="eastAsia"/>
          <w:b/>
          <w:sz w:val="28"/>
          <w:szCs w:val="28"/>
        </w:rPr>
        <w:t>四、采用国际标准和国外先进标准情况，以及与国内外同类标准水平的对比情况</w:t>
      </w:r>
    </w:p>
    <w:p w14:paraId="1CFD84A1"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lastRenderedPageBreak/>
        <w:t>没有采用国际标准和国外先进标准。</w:t>
      </w:r>
    </w:p>
    <w:p w14:paraId="44D5E749" w14:textId="77777777" w:rsidR="005B0219" w:rsidRDefault="00000000">
      <w:pPr>
        <w:pStyle w:val="a5"/>
        <w:spacing w:line="440" w:lineRule="exact"/>
        <w:ind w:firstLine="562"/>
        <w:rPr>
          <w:rFonts w:ascii="仿宋_GB2312" w:eastAsia="仿宋_GB2312"/>
          <w:b/>
          <w:sz w:val="28"/>
          <w:szCs w:val="28"/>
        </w:rPr>
      </w:pPr>
      <w:r>
        <w:rPr>
          <w:rFonts w:ascii="仿宋_GB2312" w:eastAsia="仿宋_GB2312" w:hint="eastAsia"/>
          <w:b/>
          <w:sz w:val="28"/>
          <w:szCs w:val="28"/>
        </w:rPr>
        <w:t>五、与有关法律、法规、强制性国家标准的关系</w:t>
      </w:r>
    </w:p>
    <w:p w14:paraId="5D16AA58"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本标准是在国家相关的法律、法规和强制性国家标准的基础上结合行业特点制定出来的，因此与它们没有冲突。</w:t>
      </w:r>
    </w:p>
    <w:p w14:paraId="4991CF1B" w14:textId="77777777" w:rsidR="005B0219" w:rsidRDefault="00000000">
      <w:pPr>
        <w:pStyle w:val="a5"/>
        <w:spacing w:line="440" w:lineRule="exact"/>
        <w:ind w:firstLine="562"/>
        <w:rPr>
          <w:rFonts w:ascii="仿宋_GB2312" w:eastAsia="仿宋_GB2312"/>
          <w:b/>
          <w:sz w:val="28"/>
          <w:szCs w:val="28"/>
        </w:rPr>
      </w:pPr>
      <w:r>
        <w:rPr>
          <w:rFonts w:ascii="仿宋_GB2312" w:eastAsia="仿宋_GB2312" w:hint="eastAsia"/>
          <w:b/>
          <w:sz w:val="28"/>
          <w:szCs w:val="28"/>
        </w:rPr>
        <w:t>六、重大意见分歧的处理经过和依据</w:t>
      </w:r>
    </w:p>
    <w:p w14:paraId="79C3102D"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标准充分反映了多数专家的意见，由于标准编制小组人员的水平有限，本标准的内容以及各个单项指标免不了有不足之处,有待在实践中修订。</w:t>
      </w:r>
    </w:p>
    <w:p w14:paraId="4B509897" w14:textId="77777777" w:rsidR="005B0219" w:rsidRDefault="00000000">
      <w:pPr>
        <w:pStyle w:val="a5"/>
        <w:spacing w:line="440" w:lineRule="exact"/>
        <w:ind w:firstLine="562"/>
        <w:rPr>
          <w:rFonts w:ascii="仿宋_GB2312" w:eastAsia="仿宋_GB2312"/>
          <w:b/>
          <w:sz w:val="28"/>
          <w:szCs w:val="28"/>
        </w:rPr>
      </w:pPr>
      <w:r>
        <w:rPr>
          <w:rFonts w:ascii="仿宋_GB2312" w:eastAsia="仿宋_GB2312" w:hint="eastAsia"/>
          <w:b/>
          <w:sz w:val="28"/>
          <w:szCs w:val="28"/>
        </w:rPr>
        <w:t>七、涉及专利的有关说明</w:t>
      </w:r>
    </w:p>
    <w:p w14:paraId="6DFAB7A3"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无</w:t>
      </w:r>
    </w:p>
    <w:p w14:paraId="4663DFCD" w14:textId="77777777" w:rsidR="005B0219" w:rsidRDefault="00000000">
      <w:pPr>
        <w:spacing w:line="500" w:lineRule="exact"/>
        <w:ind w:firstLineChars="200" w:firstLine="562"/>
        <w:rPr>
          <w:rFonts w:ascii="仿宋_GB2312" w:eastAsia="仿宋_GB2312"/>
          <w:b/>
          <w:kern w:val="0"/>
          <w:sz w:val="28"/>
          <w:szCs w:val="28"/>
        </w:rPr>
      </w:pPr>
      <w:r>
        <w:rPr>
          <w:rFonts w:ascii="仿宋_GB2312" w:eastAsia="仿宋_GB2312" w:hint="eastAsia"/>
          <w:b/>
          <w:kern w:val="0"/>
          <w:sz w:val="28"/>
          <w:szCs w:val="28"/>
        </w:rPr>
        <w:t>八、贯彻标准的要求和建议措施</w:t>
      </w:r>
    </w:p>
    <w:p w14:paraId="008D916B" w14:textId="77777777" w:rsidR="005B0219" w:rsidRDefault="00000000">
      <w:pPr>
        <w:pStyle w:val="a5"/>
        <w:spacing w:line="440" w:lineRule="exact"/>
        <w:ind w:firstLine="560"/>
        <w:rPr>
          <w:rFonts w:ascii="仿宋_GB2312" w:eastAsia="仿宋_GB2312"/>
          <w:sz w:val="28"/>
          <w:szCs w:val="28"/>
        </w:rPr>
      </w:pPr>
      <w:r>
        <w:rPr>
          <w:rFonts w:ascii="仿宋_GB2312" w:eastAsia="仿宋_GB2312" w:hint="eastAsia"/>
          <w:sz w:val="28"/>
          <w:szCs w:val="28"/>
        </w:rPr>
        <w:t>建议本标准发布后，要加大宣传力度，指导充装单位规范移动式压力容器充装的各个环节。同时，广泛收集标准实施过程中的问题和改进建议，为将来进一步完善标准作好准备。</w:t>
      </w:r>
    </w:p>
    <w:p w14:paraId="52107675" w14:textId="77777777" w:rsidR="005B0219" w:rsidRDefault="00000000">
      <w:pPr>
        <w:spacing w:line="400" w:lineRule="exact"/>
        <w:ind w:firstLineChars="200" w:firstLine="562"/>
        <w:rPr>
          <w:rFonts w:ascii="仿宋_GB2312" w:eastAsia="仿宋_GB2312" w:hAnsi="宋体"/>
          <w:b/>
          <w:sz w:val="28"/>
          <w:szCs w:val="28"/>
        </w:rPr>
      </w:pPr>
      <w:r>
        <w:rPr>
          <w:rFonts w:ascii="仿宋_GB2312" w:eastAsia="仿宋_GB2312" w:hAnsi="宋体" w:hint="eastAsia"/>
          <w:b/>
          <w:sz w:val="28"/>
          <w:szCs w:val="28"/>
        </w:rPr>
        <w:t>九、其他应当说明的事项</w:t>
      </w:r>
    </w:p>
    <w:p w14:paraId="5C9D565F" w14:textId="77777777" w:rsidR="005B0219" w:rsidRDefault="00000000">
      <w:pPr>
        <w:spacing w:line="400" w:lineRule="exact"/>
        <w:ind w:firstLineChars="200" w:firstLine="560"/>
        <w:rPr>
          <w:rFonts w:ascii="仿宋_GB2312" w:eastAsia="仿宋_GB2312" w:hAnsi="宋体"/>
          <w:sz w:val="28"/>
          <w:szCs w:val="28"/>
        </w:rPr>
      </w:pPr>
      <w:r>
        <w:rPr>
          <w:rFonts w:ascii="仿宋_GB2312" w:eastAsia="仿宋_GB2312" w:hAnsi="宋体" w:hint="eastAsia"/>
          <w:sz w:val="28"/>
          <w:szCs w:val="28"/>
        </w:rPr>
        <w:t>无</w:t>
      </w:r>
    </w:p>
    <w:p w14:paraId="1B076716" w14:textId="77777777" w:rsidR="005B0219" w:rsidRDefault="005B0219"/>
    <w:sectPr w:rsidR="005B02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945"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2049044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M0Yjg4OGIxZWU1NmFiZjRlMTZjM2E0Mjc2ZDE0N2YifQ=="/>
    <w:docVar w:name="KSO_WPS_MARK_KEY" w:val="67a29b59-bd17-4f8b-a3f5-6fa37b8f476a"/>
  </w:docVars>
  <w:rsids>
    <w:rsidRoot w:val="2DCB25AC"/>
    <w:rsid w:val="001E0037"/>
    <w:rsid w:val="005B0219"/>
    <w:rsid w:val="14547046"/>
    <w:rsid w:val="25B364F8"/>
    <w:rsid w:val="2DCB25AC"/>
    <w:rsid w:val="32CD6692"/>
    <w:rsid w:val="37F20CA5"/>
    <w:rsid w:val="42EE28E1"/>
    <w:rsid w:val="4C8E04DA"/>
    <w:rsid w:val="50421B99"/>
    <w:rsid w:val="531B14AC"/>
    <w:rsid w:val="5E257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C5A234"/>
  <w15:docId w15:val="{DEED6B6E-B245-4832-81AD-5BC6FF7E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目次、标准名称标题"/>
    <w:basedOn w:val="a"/>
    <w:next w:val="a5"/>
    <w:qFormat/>
    <w:pPr>
      <w:numPr>
        <w:numId w:val="0"/>
      </w:numPr>
      <w:spacing w:line="460" w:lineRule="exact"/>
    </w:pPr>
  </w:style>
  <w:style w:type="paragraph" w:customStyle="1" w:styleId="a">
    <w:name w:val="前言、引言标题"/>
    <w:next w:val="a0"/>
    <w:qFormat/>
    <w:pPr>
      <w:numPr>
        <w:numId w:val="1"/>
      </w:numPr>
      <w:shd w:val="clear" w:color="FFFFFF" w:fill="FFFFFF"/>
      <w:tabs>
        <w:tab w:val="left" w:pos="360"/>
      </w:tabs>
      <w:spacing w:before="640" w:after="560"/>
      <w:jc w:val="center"/>
      <w:outlineLvl w:val="0"/>
    </w:pPr>
    <w:rPr>
      <w:rFonts w:ascii="黑体" w:eastAsia="黑体"/>
      <w:sz w:val="32"/>
    </w:rPr>
  </w:style>
  <w:style w:type="paragraph" w:customStyle="1" w:styleId="a5">
    <w:name w:val="段"/>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邹锦瑾</dc:creator>
  <cp:lastModifiedBy>万 增辉</cp:lastModifiedBy>
  <cp:revision>2</cp:revision>
  <dcterms:created xsi:type="dcterms:W3CDTF">2022-10-22T06:55:00Z</dcterms:created>
  <dcterms:modified xsi:type="dcterms:W3CDTF">2023-02-17T00:44:00Z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FC317DEB21FD4CB5BAE4D1850C366881</vt:lpwstr>
  </property>
</Properties>
</file>